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Deska stolu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 kompozitního materiálu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100 % akryl a anorganick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plnivo hlinitého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ůvodu, barva středně šed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imitace granitu,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 kulat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hrany stolu (p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řechod plochy stolu na tloušťku desky), samozh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odolná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ábání,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nepor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zdravotn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nez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ávadná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Cerifikace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ISO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14001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REACH, certifikov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 Exova. Kompozitn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deska lepen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 pevn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klad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žňuj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mont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laboratorn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 ods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Vnitřn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deska stolu umožňuj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mont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kolenn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 laboratorn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 mikromotoru - DTD min. 22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deska stolu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ňuj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mont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laboratorn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 ods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bytek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četně kontejnerů u laboratorn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ch stol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bytek z laminovan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řevotř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ískové desky DTD-L tlou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šťky 18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Korpus skř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ňov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úlo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nábytku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plastovou hranou tlou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šťky  ABS 1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bytku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jednostranně lakovan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řevovl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áknitá deska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plochy dve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 a čela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ásuvek jsou olepeny plastovou hranou tlou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šťky ABS 2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Olepen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metodou PUR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 naložen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na korpusu a zav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ěšeny na niklovan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záv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ěsech s tlumen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dorazu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 otevřen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do úhlu min. 110°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Zásuvky z dvouplá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šťov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kovových bok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s pevn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ým DTD-L dnem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ženy na plnov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ýsuvné kovové 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ště vybaven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plynulým samodotahem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